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ind w:firstLine="2730" w:firstLineChars="1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482600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4.85pt;margin-top:38pt;height:0pt;width:450.2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IX&#10;CAHXAAAACgEAAA8AAAAAAAAAAQAgAAAAIgAAAGRycy9kb3ducmV2LnhtbFBLAQIUABQAAAAIAIdO&#10;4kAcTfHN6wEAANwDAAAOAAAAAAAAAAEAIAAAACYBAABkcnMvZTJvRG9jLnhtbFBLBQYAAAAABgAG&#10;AFkBAACDBQAAAAA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甘环协〔20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2560" w:firstLineChars="8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关于举办20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年环境保护设施运行人员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污废水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连续自动监控系统）培训班的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各有关单位：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满足企业在复工复产后人才培训的需求，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提高环境保护设施运行人员的业务水平和从业能力，增强其职业素养，中国环境保护产业协会（以下简称中环协）联合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省环境保护产业协会（以下简称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环协）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拟定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于20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月举办20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年环境保护设施运行人员（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污废水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连续自动监控系统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线上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培训班。培训主要围绕环境污染第三方治理行业运维技术、经济、管理、政策法规等方面内容，使其适应工作岗位的实际需要。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shd w:val="clear" w:color="auto" w:fill="FFFFFF"/>
        </w:rPr>
        <w:t>现将有关事项通知如下：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一、培训对象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jc w:val="left"/>
        <w:textAlignment w:val="auto"/>
        <w:rPr>
          <w:rFonts w:hint="eastAsia" w:ascii="仿宋" w:hAnsi="仿宋" w:eastAsia="仿宋" w:cs="仿宋"/>
          <w:spacing w:val="-2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-11"/>
          <w:kern w:val="0"/>
          <w:sz w:val="32"/>
          <w:szCs w:val="32"/>
          <w:shd w:val="clear" w:color="auto" w:fill="FFFFFF"/>
        </w:rPr>
        <w:t>自动监控仪器生产单位和污染源在线监测运营单位人员。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培训时间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、培训方式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、承办单位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报名截止时间：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2023年5月26日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-2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培训时间：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待定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培训方式：采取网络线上培训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承办单位：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省环境保护产业协会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三、培训结业考核及取证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培训结束后参训人员参加由中环协统一组织的考核，考核通过人员名单将在中环协和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环协网站予以公示，由中环协和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环协联合颁发《环境保护设施运行人员考试合格证书》。</w:t>
      </w:r>
      <w:r>
        <w:rPr>
          <w:rFonts w:hint="eastAsia" w:ascii="仿宋" w:hAnsi="仿宋" w:eastAsia="仿宋" w:cs="仿宋"/>
          <w:kern w:val="0"/>
          <w:sz w:val="32"/>
          <w:szCs w:val="32"/>
        </w:rPr>
        <w:t>证书可作为自动监控系统运行服务能力认证的人员培训证明以及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甘肃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省企业环境信用评价的治污设施操作人员的培训证明。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四、培训费用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2000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元/人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>五、报名及缴费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预报名结束后等待正式通知再进行缴费。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  <w:t xml:space="preserve">六、联系方式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联 系 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常嘉颖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297180</wp:posOffset>
            </wp:positionV>
            <wp:extent cx="2941320" cy="4116070"/>
            <wp:effectExtent l="0" t="0" r="0" b="0"/>
            <wp:wrapNone/>
            <wp:docPr id="1" name="图片 1" descr="电子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联系电话：0931-8649676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13321219432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电子邮箱：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instrText xml:space="preserve"> HYPERLINK "mailto:gshbcyxh@126.com"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gshbcyxh@126.com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附件：环境保护设施运行人员培训班报名回执表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360" w:lineRule="auto"/>
        <w:ind w:right="11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甘肃</w:t>
      </w:r>
      <w:r>
        <w:rPr>
          <w:rFonts w:hint="eastAsia" w:ascii="仿宋" w:hAnsi="仿宋" w:eastAsia="仿宋" w:cs="仿宋"/>
          <w:sz w:val="32"/>
          <w:szCs w:val="32"/>
        </w:rPr>
        <w:t>省环境保护产业协会</w:t>
      </w:r>
    </w:p>
    <w:p>
      <w:pPr>
        <w:tabs>
          <w:tab w:val="left" w:pos="6300"/>
        </w:tabs>
        <w:spacing w:line="560" w:lineRule="exact"/>
        <w:ind w:righ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2023年4月21日</w:t>
      </w:r>
    </w:p>
    <w:p>
      <w:pPr>
        <w:tabs>
          <w:tab w:val="left" w:pos="6300"/>
        </w:tabs>
        <w:spacing w:line="560" w:lineRule="exact"/>
        <w:ind w:righ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环境保护设施运行人员培训班报名回执表</w:t>
      </w:r>
    </w:p>
    <w:tbl>
      <w:tblPr>
        <w:tblStyle w:val="5"/>
        <w:tblW w:w="10524" w:type="dxa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45"/>
        <w:gridCol w:w="580"/>
        <w:gridCol w:w="245"/>
        <w:gridCol w:w="655"/>
        <w:gridCol w:w="890"/>
        <w:gridCol w:w="913"/>
        <w:gridCol w:w="317"/>
        <w:gridCol w:w="583"/>
        <w:gridCol w:w="1353"/>
        <w:gridCol w:w="260"/>
        <w:gridCol w:w="781"/>
        <w:gridCol w:w="1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283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53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纳税人识别号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地址</w:t>
            </w:r>
          </w:p>
        </w:tc>
        <w:tc>
          <w:tcPr>
            <w:tcW w:w="5796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参加培训工种</w:t>
            </w:r>
          </w:p>
        </w:tc>
        <w:tc>
          <w:tcPr>
            <w:tcW w:w="3600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培训时间</w:t>
            </w:r>
          </w:p>
        </w:tc>
        <w:tc>
          <w:tcPr>
            <w:tcW w:w="2568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学历</w:t>
            </w: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从业年限</w:t>
            </w: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position w:val="-6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注：此表复印有效。培训中心按照报名先后顺序安排。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E3F8F"/>
    <w:multiLevelType w:val="singleLevel"/>
    <w:tmpl w:val="958E3F8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zhmN2U3YzVlMGQwMDJkYTllYjE3YzI1ODgzYjYifQ=="/>
  </w:docVars>
  <w:rsids>
    <w:rsidRoot w:val="00A47454"/>
    <w:rsid w:val="00021697"/>
    <w:rsid w:val="00081BFA"/>
    <w:rsid w:val="005C1D59"/>
    <w:rsid w:val="006015DF"/>
    <w:rsid w:val="00A47454"/>
    <w:rsid w:val="00D9637F"/>
    <w:rsid w:val="011A5271"/>
    <w:rsid w:val="0147778C"/>
    <w:rsid w:val="01CD5527"/>
    <w:rsid w:val="02353A89"/>
    <w:rsid w:val="02447828"/>
    <w:rsid w:val="024A5C65"/>
    <w:rsid w:val="02E5725D"/>
    <w:rsid w:val="03744955"/>
    <w:rsid w:val="037A479A"/>
    <w:rsid w:val="050D771F"/>
    <w:rsid w:val="05483AD3"/>
    <w:rsid w:val="061559E6"/>
    <w:rsid w:val="0794304E"/>
    <w:rsid w:val="07CD206E"/>
    <w:rsid w:val="09B96D4E"/>
    <w:rsid w:val="0A6273E5"/>
    <w:rsid w:val="0C183BA6"/>
    <w:rsid w:val="0DB96F89"/>
    <w:rsid w:val="0DC4378D"/>
    <w:rsid w:val="0E034A3B"/>
    <w:rsid w:val="0E977118"/>
    <w:rsid w:val="1008458B"/>
    <w:rsid w:val="10505F32"/>
    <w:rsid w:val="1066227A"/>
    <w:rsid w:val="10B63FE7"/>
    <w:rsid w:val="111D7BC2"/>
    <w:rsid w:val="117977CA"/>
    <w:rsid w:val="133F5829"/>
    <w:rsid w:val="13FF5CA5"/>
    <w:rsid w:val="140908D1"/>
    <w:rsid w:val="1481490C"/>
    <w:rsid w:val="149368DD"/>
    <w:rsid w:val="14A66295"/>
    <w:rsid w:val="14DC1B42"/>
    <w:rsid w:val="1526126E"/>
    <w:rsid w:val="155408C6"/>
    <w:rsid w:val="158215CB"/>
    <w:rsid w:val="15E16DC1"/>
    <w:rsid w:val="16110F4A"/>
    <w:rsid w:val="16816E45"/>
    <w:rsid w:val="179553CF"/>
    <w:rsid w:val="17AA5074"/>
    <w:rsid w:val="17F453F5"/>
    <w:rsid w:val="180661BB"/>
    <w:rsid w:val="18233816"/>
    <w:rsid w:val="18CB5021"/>
    <w:rsid w:val="19033B41"/>
    <w:rsid w:val="1B8847D2"/>
    <w:rsid w:val="1BAD248A"/>
    <w:rsid w:val="1BE22134"/>
    <w:rsid w:val="1C102A22"/>
    <w:rsid w:val="1E7B199E"/>
    <w:rsid w:val="1ED06242"/>
    <w:rsid w:val="1EDA17E8"/>
    <w:rsid w:val="1EF53F2C"/>
    <w:rsid w:val="1F6D7F66"/>
    <w:rsid w:val="1FD224BF"/>
    <w:rsid w:val="20516442"/>
    <w:rsid w:val="206155F1"/>
    <w:rsid w:val="20790B8D"/>
    <w:rsid w:val="209D0D1F"/>
    <w:rsid w:val="21D20555"/>
    <w:rsid w:val="223E208E"/>
    <w:rsid w:val="22F02B69"/>
    <w:rsid w:val="237C4C1C"/>
    <w:rsid w:val="23B37D8E"/>
    <w:rsid w:val="240D7F6A"/>
    <w:rsid w:val="25585215"/>
    <w:rsid w:val="25A22934"/>
    <w:rsid w:val="25FD0C9D"/>
    <w:rsid w:val="264418C2"/>
    <w:rsid w:val="299838AC"/>
    <w:rsid w:val="2A5A37DD"/>
    <w:rsid w:val="2AB56C65"/>
    <w:rsid w:val="2AC33130"/>
    <w:rsid w:val="2AE65071"/>
    <w:rsid w:val="2BF10171"/>
    <w:rsid w:val="2DC52904"/>
    <w:rsid w:val="2E755089"/>
    <w:rsid w:val="2F5B034B"/>
    <w:rsid w:val="2FC843A8"/>
    <w:rsid w:val="30197C97"/>
    <w:rsid w:val="30FA1876"/>
    <w:rsid w:val="31D15433"/>
    <w:rsid w:val="32001864"/>
    <w:rsid w:val="32056724"/>
    <w:rsid w:val="32390E0F"/>
    <w:rsid w:val="32E5265B"/>
    <w:rsid w:val="340053F5"/>
    <w:rsid w:val="345333DC"/>
    <w:rsid w:val="34F21E51"/>
    <w:rsid w:val="35072F6C"/>
    <w:rsid w:val="353A0493"/>
    <w:rsid w:val="364B08B0"/>
    <w:rsid w:val="365735BC"/>
    <w:rsid w:val="37492C0F"/>
    <w:rsid w:val="38087BB0"/>
    <w:rsid w:val="38614362"/>
    <w:rsid w:val="396E1053"/>
    <w:rsid w:val="39802C65"/>
    <w:rsid w:val="39AC756C"/>
    <w:rsid w:val="3B6A75F8"/>
    <w:rsid w:val="3BF21AC7"/>
    <w:rsid w:val="3D0D195B"/>
    <w:rsid w:val="3D2251DC"/>
    <w:rsid w:val="3E9B7A0B"/>
    <w:rsid w:val="3FC72668"/>
    <w:rsid w:val="40646D0C"/>
    <w:rsid w:val="408E7CB9"/>
    <w:rsid w:val="419C19E8"/>
    <w:rsid w:val="41B25855"/>
    <w:rsid w:val="424D3EFC"/>
    <w:rsid w:val="42D00A6A"/>
    <w:rsid w:val="436D5ED7"/>
    <w:rsid w:val="44444E8A"/>
    <w:rsid w:val="44867251"/>
    <w:rsid w:val="448E25A9"/>
    <w:rsid w:val="471F1337"/>
    <w:rsid w:val="47433770"/>
    <w:rsid w:val="49404A8B"/>
    <w:rsid w:val="49635DB3"/>
    <w:rsid w:val="49D56585"/>
    <w:rsid w:val="4A121426"/>
    <w:rsid w:val="4AB341A3"/>
    <w:rsid w:val="4B4734B2"/>
    <w:rsid w:val="4B5C72E2"/>
    <w:rsid w:val="4C343A36"/>
    <w:rsid w:val="4C6B4F7E"/>
    <w:rsid w:val="4D75676E"/>
    <w:rsid w:val="4E123FF4"/>
    <w:rsid w:val="4EBE1CDD"/>
    <w:rsid w:val="4FB300F3"/>
    <w:rsid w:val="509313CA"/>
    <w:rsid w:val="51D13AD5"/>
    <w:rsid w:val="524349D3"/>
    <w:rsid w:val="53C9715A"/>
    <w:rsid w:val="546E2DB8"/>
    <w:rsid w:val="54773E4C"/>
    <w:rsid w:val="54B576DE"/>
    <w:rsid w:val="54BB2A9B"/>
    <w:rsid w:val="556709D9"/>
    <w:rsid w:val="55B10416"/>
    <w:rsid w:val="565847C5"/>
    <w:rsid w:val="568E6439"/>
    <w:rsid w:val="573174F0"/>
    <w:rsid w:val="578F4217"/>
    <w:rsid w:val="57C23E36"/>
    <w:rsid w:val="5838665C"/>
    <w:rsid w:val="5B102FDB"/>
    <w:rsid w:val="5B5C4D58"/>
    <w:rsid w:val="5C11169E"/>
    <w:rsid w:val="5D4E6EAC"/>
    <w:rsid w:val="5D9E6F62"/>
    <w:rsid w:val="5F3B6A32"/>
    <w:rsid w:val="5F4C0C3F"/>
    <w:rsid w:val="5FDA216E"/>
    <w:rsid w:val="604726A7"/>
    <w:rsid w:val="62B7061E"/>
    <w:rsid w:val="633A3BD0"/>
    <w:rsid w:val="642E6B65"/>
    <w:rsid w:val="65F41CD5"/>
    <w:rsid w:val="669B4986"/>
    <w:rsid w:val="66F45342"/>
    <w:rsid w:val="685372E2"/>
    <w:rsid w:val="69531548"/>
    <w:rsid w:val="69807E63"/>
    <w:rsid w:val="6AF26B3F"/>
    <w:rsid w:val="6B916358"/>
    <w:rsid w:val="6D034077"/>
    <w:rsid w:val="70774BDF"/>
    <w:rsid w:val="71F63882"/>
    <w:rsid w:val="726C367A"/>
    <w:rsid w:val="72AE3C93"/>
    <w:rsid w:val="72D74732"/>
    <w:rsid w:val="72F959B4"/>
    <w:rsid w:val="73517C9A"/>
    <w:rsid w:val="73EF4563"/>
    <w:rsid w:val="74C95178"/>
    <w:rsid w:val="754E52B9"/>
    <w:rsid w:val="7557416E"/>
    <w:rsid w:val="756016AB"/>
    <w:rsid w:val="757A60AE"/>
    <w:rsid w:val="7597078B"/>
    <w:rsid w:val="76BA7A80"/>
    <w:rsid w:val="77112A42"/>
    <w:rsid w:val="77121173"/>
    <w:rsid w:val="7A5073DE"/>
    <w:rsid w:val="7B2E2CDB"/>
    <w:rsid w:val="7D641B1E"/>
    <w:rsid w:val="7E2272E3"/>
    <w:rsid w:val="7EA67F14"/>
    <w:rsid w:val="7F3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2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698</Words>
  <Characters>758</Characters>
  <Lines>3</Lines>
  <Paragraphs>1</Paragraphs>
  <TotalTime>1</TotalTime>
  <ScaleCrop>false</ScaleCrop>
  <LinksUpToDate>false</LinksUpToDate>
  <CharactersWithSpaces>819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零点</cp:lastModifiedBy>
  <dcterms:modified xsi:type="dcterms:W3CDTF">2023-04-19T03:50:55Z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7DCEB2F47ED544E282322722FE3EE95D_13</vt:lpwstr>
  </property>
</Properties>
</file>