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甘肃省环境保护产业协会第五届第三次会员代表大会暨新春联谊会</w:t>
      </w:r>
      <w:r>
        <w:rPr>
          <w:rFonts w:hint="eastAsia" w:ascii="黑体" w:hAnsi="黑体" w:eastAsia="黑体"/>
          <w:sz w:val="36"/>
          <w:szCs w:val="36"/>
        </w:rPr>
        <w:t>回执表</w:t>
      </w: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103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51"/>
        <w:gridCol w:w="1758"/>
        <w:gridCol w:w="2694"/>
        <w:gridCol w:w="425"/>
        <w:gridCol w:w="99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编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参会人员姓名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手机/座机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34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参会说明：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"mailto:1、请于2018年11月19日前将参会回执表发送至指定邮箱（gshbcyxh@126.com"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、请于20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日前将参会回执表发送至指定邮箱（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gshbcyxh@126.com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、因会务安排需要，会务组以收到报名回执表的时间为准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p>
      <w:pPr>
        <w:spacing w:line="640" w:lineRule="exact"/>
        <w:jc w:val="left"/>
        <w:rPr>
          <w:rFonts w:hint="eastAsia" w:eastAsia="仿宋"/>
          <w:sz w:val="32"/>
          <w:lang w:eastAsia="zh-CN"/>
        </w:rPr>
      </w:pPr>
    </w:p>
    <w:p>
      <w:pPr>
        <w:rPr>
          <w:rFonts w:ascii="宋体" w:hAnsi="宋体"/>
          <w:b/>
          <w:position w:val="-6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2020-01-02T01:53:15Z</dcterms:created>
  <dc:creator>lenovo</dc:creator>
  <cp:lastModifiedBy>念夏</cp:lastModifiedBy>
  <dcterms:modified xsi:type="dcterms:W3CDTF">2020-01-02T01:53:22Z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